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0673B7">
        <w:rPr>
          <w:b/>
          <w:color w:val="003768"/>
          <w:sz w:val="36"/>
          <w:szCs w:val="36"/>
        </w:rPr>
        <w:t>Federal Financial Aid Attendance Policy</w:t>
      </w:r>
    </w:p>
    <w:p w:rsidR="000673B7" w:rsidRPr="000673B7" w:rsidRDefault="000673B7" w:rsidP="000673B7">
      <w:pPr>
        <w:rPr>
          <w:b/>
          <w:color w:val="003768"/>
          <w:sz w:val="32"/>
          <w:szCs w:val="32"/>
        </w:rPr>
      </w:pPr>
      <w:r w:rsidRPr="000673B7">
        <w:rPr>
          <w:b/>
          <w:color w:val="003768"/>
          <w:sz w:val="32"/>
          <w:szCs w:val="32"/>
        </w:rPr>
        <w:t>Last Date of Attendance Policy for Unofficial Withdrawals:</w:t>
      </w:r>
    </w:p>
    <w:p w:rsidR="000673B7" w:rsidRPr="000673B7" w:rsidRDefault="000673B7" w:rsidP="000673B7">
      <w:pPr>
        <w:rPr>
          <w:sz w:val="24"/>
          <w:szCs w:val="24"/>
        </w:rPr>
      </w:pPr>
      <w:r w:rsidRPr="000673B7">
        <w:rPr>
          <w:sz w:val="24"/>
          <w:szCs w:val="24"/>
        </w:rPr>
        <w:t>Since Ocean County College is not required to take attendance by its accreditation body or by other outside entities, if a student fails to officially withdraw from a term prior to the withdrawal deadline date, a student’s last date of attendance for the purpose of calculating the return of Federal financial aid funds will be determined as the date at which the student last attended an academically-related activity (documentation must be available).   An academically-related activity is defined as:</w:t>
      </w:r>
    </w:p>
    <w:p w:rsidR="000673B7" w:rsidRPr="000673B7" w:rsidRDefault="000673B7" w:rsidP="000673B7">
      <w:pPr>
        <w:pStyle w:val="ListParagraph"/>
        <w:numPr>
          <w:ilvl w:val="0"/>
          <w:numId w:val="15"/>
        </w:numPr>
        <w:rPr>
          <w:sz w:val="24"/>
          <w:szCs w:val="24"/>
        </w:rPr>
      </w:pPr>
      <w:r w:rsidRPr="000673B7">
        <w:rPr>
          <w:sz w:val="24"/>
          <w:szCs w:val="24"/>
        </w:rPr>
        <w:t>Submitting an academic assignment OR</w:t>
      </w:r>
    </w:p>
    <w:p w:rsidR="000673B7" w:rsidRPr="000673B7" w:rsidRDefault="000673B7" w:rsidP="000673B7">
      <w:pPr>
        <w:pStyle w:val="ListParagraph"/>
        <w:numPr>
          <w:ilvl w:val="0"/>
          <w:numId w:val="15"/>
        </w:numPr>
        <w:rPr>
          <w:sz w:val="24"/>
          <w:szCs w:val="24"/>
        </w:rPr>
      </w:pPr>
      <w:r w:rsidRPr="000673B7">
        <w:rPr>
          <w:sz w:val="24"/>
          <w:szCs w:val="24"/>
        </w:rPr>
        <w:t>Taking an exam OR</w:t>
      </w:r>
    </w:p>
    <w:p w:rsidR="000673B7" w:rsidRPr="000673B7" w:rsidRDefault="000673B7" w:rsidP="000673B7">
      <w:pPr>
        <w:pStyle w:val="ListParagraph"/>
        <w:numPr>
          <w:ilvl w:val="0"/>
          <w:numId w:val="15"/>
        </w:numPr>
        <w:rPr>
          <w:sz w:val="24"/>
          <w:szCs w:val="24"/>
        </w:rPr>
      </w:pPr>
      <w:r w:rsidRPr="000673B7">
        <w:rPr>
          <w:sz w:val="24"/>
          <w:szCs w:val="24"/>
        </w:rPr>
        <w:t>Participating in an online class discussion</w:t>
      </w:r>
    </w:p>
    <w:p w:rsidR="000673B7" w:rsidRPr="000673B7" w:rsidRDefault="000673B7" w:rsidP="000673B7">
      <w:pPr>
        <w:rPr>
          <w:sz w:val="24"/>
          <w:szCs w:val="24"/>
        </w:rPr>
      </w:pPr>
      <w:r w:rsidRPr="000673B7">
        <w:rPr>
          <w:sz w:val="24"/>
          <w:szCs w:val="24"/>
        </w:rPr>
        <w:t>If no documentation is available to determine a last date of attendance, as per Federal regulations the Financial Aid office will use the 50 percent point of the term as the date on which the Return of Title IV funds calculation will be based.</w:t>
      </w:r>
    </w:p>
    <w:p w:rsidR="000673B7" w:rsidRPr="000673B7" w:rsidRDefault="000673B7" w:rsidP="000673B7">
      <w:pPr>
        <w:rPr>
          <w:sz w:val="24"/>
          <w:szCs w:val="24"/>
        </w:rPr>
      </w:pPr>
      <w:r w:rsidRPr="000673B7">
        <w:rPr>
          <w:sz w:val="24"/>
          <w:szCs w:val="24"/>
        </w:rPr>
        <w:t xml:space="preserve">The college has a policy (Students Withdrawal General Requirements #5142) which only permits students to withdraw from a course and receive a “W” for that coursework up through the withdrawal deadline date.  Students are not permitted to withdraw from courses after the withdrawal deadline date.  </w:t>
      </w:r>
    </w:p>
    <w:p w:rsidR="00C04A46" w:rsidRPr="000673B7" w:rsidRDefault="00C04A46" w:rsidP="00C04A46">
      <w:pPr>
        <w:ind w:left="360"/>
        <w:rPr>
          <w:rFonts w:cstheme="minorHAnsi"/>
          <w:sz w:val="24"/>
          <w:szCs w:val="24"/>
        </w:rPr>
      </w:pPr>
    </w:p>
    <w:p w:rsidR="008708D6" w:rsidRPr="00604111" w:rsidRDefault="008708D6" w:rsidP="00C04A46">
      <w:pPr>
        <w:jc w:val="center"/>
        <w:rPr>
          <w:rFonts w:cstheme="minorHAnsi"/>
          <w:sz w:val="24"/>
          <w:szCs w:val="24"/>
        </w:rPr>
      </w:pPr>
    </w:p>
    <w:sectPr w:rsidR="008708D6" w:rsidRPr="00604111" w:rsidSect="0081497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4E" w:rsidRDefault="00247B4E" w:rsidP="009370BD">
      <w:pPr>
        <w:spacing w:after="0" w:line="240" w:lineRule="auto"/>
      </w:pPr>
      <w:r>
        <w:separator/>
      </w:r>
    </w:p>
  </w:endnote>
  <w:endnote w:type="continuationSeparator" w:id="0">
    <w:p w:rsidR="00247B4E" w:rsidRDefault="00247B4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bookmarkStart w:id="0" w:name="_GoBack"/>
          <w:bookmarkEnd w:id="0"/>
        </w:p>
      </w:tc>
    </w:tr>
  </w:tbl>
  <w:p w:rsidR="00FD35D4" w:rsidRDefault="00FD35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4E" w:rsidRDefault="00247B4E" w:rsidP="009370BD">
      <w:pPr>
        <w:spacing w:after="0" w:line="240" w:lineRule="auto"/>
      </w:pPr>
      <w:r>
        <w:separator/>
      </w:r>
    </w:p>
  </w:footnote>
  <w:footnote w:type="continuationSeparator" w:id="0">
    <w:p w:rsidR="00247B4E" w:rsidRDefault="00247B4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96A" w:rsidRPr="00604111" w:rsidRDefault="00604111">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E0E0676"/>
    <w:multiLevelType w:val="hybridMultilevel"/>
    <w:tmpl w:val="231E80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9"/>
  </w:num>
  <w:num w:numId="4">
    <w:abstractNumId w:val="2"/>
  </w:num>
  <w:num w:numId="5">
    <w:abstractNumId w:val="3"/>
  </w:num>
  <w:num w:numId="6">
    <w:abstractNumId w:val="6"/>
  </w:num>
  <w:num w:numId="7">
    <w:abstractNumId w:val="1"/>
  </w:num>
  <w:num w:numId="8">
    <w:abstractNumId w:val="10"/>
  </w:num>
  <w:num w:numId="9">
    <w:abstractNumId w:val="13"/>
  </w:num>
  <w:num w:numId="10">
    <w:abstractNumId w:val="11"/>
  </w:num>
  <w:num w:numId="11">
    <w:abstractNumId w:val="4"/>
  </w:num>
  <w:num w:numId="12">
    <w:abstractNumId w:val="12"/>
  </w:num>
  <w:num w:numId="13">
    <w:abstractNumId w:val="8"/>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673B7"/>
    <w:rsid w:val="00083E08"/>
    <w:rsid w:val="000A36DE"/>
    <w:rsid w:val="000D7A05"/>
    <w:rsid w:val="000E2CDA"/>
    <w:rsid w:val="000F311C"/>
    <w:rsid w:val="0010098E"/>
    <w:rsid w:val="00137C1E"/>
    <w:rsid w:val="00174340"/>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730F"/>
    <w:rsid w:val="00584D32"/>
    <w:rsid w:val="0059280F"/>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E1458"/>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066308">
      <w:bodyDiv w:val="1"/>
      <w:marLeft w:val="0"/>
      <w:marRight w:val="0"/>
      <w:marTop w:val="0"/>
      <w:marBottom w:val="0"/>
      <w:divBdr>
        <w:top w:val="none" w:sz="0" w:space="0" w:color="auto"/>
        <w:left w:val="none" w:sz="0" w:space="0" w:color="auto"/>
        <w:bottom w:val="none" w:sz="0" w:space="0" w:color="auto"/>
        <w:right w:val="none" w:sz="0" w:space="0" w:color="auto"/>
      </w:divBdr>
    </w:div>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3CAF5-F55A-43BB-A828-44C141480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3</cp:revision>
  <cp:lastPrinted>2011-07-07T16:29:00Z</cp:lastPrinted>
  <dcterms:created xsi:type="dcterms:W3CDTF">2012-04-26T14:59:00Z</dcterms:created>
  <dcterms:modified xsi:type="dcterms:W3CDTF">2012-11-13T14:50:00Z</dcterms:modified>
</cp:coreProperties>
</file>